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6F11" w14:textId="4C3C6D74" w:rsidR="00D32C5B" w:rsidRPr="00D32C5B" w:rsidRDefault="00836A0C" w:rsidP="00D32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Accreditation</w:t>
      </w:r>
      <w:r w:rsidR="00C147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D32C5B" w:rsidRPr="00D32C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Licensing</w:t>
      </w:r>
      <w:r w:rsidR="00C147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and Complaint Contact </w:t>
      </w:r>
      <w:r w:rsidR="00D32C5B" w:rsidRPr="00D32C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Disclosures</w:t>
      </w:r>
    </w:p>
    <w:p w14:paraId="53C563C1" w14:textId="77777777" w:rsidR="00D32C5B" w:rsidRDefault="00D32C5B" w:rsidP="00D32C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1CA97F" w14:textId="1EEA9BE1" w:rsidR="00D32C5B" w:rsidRDefault="00D32C5B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Jung Tao School of Classical Chinese Medicine is authorized to offer a graduate level diploma in acupuncture by the North Carolina Licensing Board and the Accreditation Commission for Acupuncture and Herbal Medicine</w:t>
      </w:r>
      <w:r w:rsidR="008938F3">
        <w:rPr>
          <w:rFonts w:ascii="Times New Roman" w:eastAsia="Times New Roman" w:hAnsi="Times New Roman" w:cs="Times New Roman"/>
          <w:kern w:val="0"/>
          <w14:ligatures w14:val="none"/>
        </w:rPr>
        <w:t xml:space="preserve"> (formally ACAOM)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17442B" w14:textId="77777777" w:rsidR="005E3A87" w:rsidRDefault="005E3A87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B20B63" w14:textId="5A29D0BE" w:rsidR="005E3A87" w:rsidRDefault="005E3A87" w:rsidP="005E3A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Jung Tao School is recognized by the IRS as a 501(c)3 non-profit educational institution (since 1999) and the North Carolina Secretary of State (since 2016) as a non-profit educational institution qualifying for charitable solicitation/donations. </w:t>
      </w:r>
      <w:hyperlink r:id="rId5" w:history="1">
        <w:r w:rsidRPr="00CC41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https://www.sosnc.gov/divisions/charities</w:t>
        </w:r>
      </w:hyperlink>
    </w:p>
    <w:p w14:paraId="0B1D9DC3" w14:textId="77777777" w:rsidR="00D32C5B" w:rsidRDefault="00D32C5B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B2775C" w14:textId="77777777" w:rsidR="007C79D2" w:rsidRDefault="007C79D2" w:rsidP="00D32C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868C2C" w14:textId="797B8537" w:rsidR="005E3A87" w:rsidRDefault="00D32C5B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 Carolina Acupuncture Licensing Board (NCALB)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The Jung Tao School of Classical Chinese Medicine was the first acupuncture program approve</w:t>
      </w:r>
      <w:r w:rsidR="00587DA6">
        <w:rPr>
          <w:rFonts w:ascii="Times New Roman" w:eastAsia="Times New Roman" w:hAnsi="Times New Roman" w:cs="Times New Roman"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under North Carolina Statutes by the NCALB. T</w:t>
      </w:r>
      <w:r w:rsidRPr="00D32C5B">
        <w:rPr>
          <w:rFonts w:ascii="Times New Roman" w:eastAsia="Times New Roman" w:hAnsi="Times New Roman" w:cs="Times New Roman"/>
          <w:kern w:val="0"/>
          <w14:ligatures w14:val="none"/>
        </w:rPr>
        <w:t>he Jung Tao School of Classical Chinese Medicine has continued to meet all the requirements of 21 NCAC 01.0501 since its initial approval in North Carolina as a school of acupuncture in 2006</w:t>
      </w:r>
      <w:r w:rsidR="005E3A8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813AA8" w14:textId="77777777" w:rsidR="005E3A87" w:rsidRDefault="005E3A87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4202AE" w14:textId="26A27856" w:rsidR="00D32C5B" w:rsidRDefault="00D32C5B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D32C5B">
        <w:rPr>
          <w:rFonts w:ascii="Times New Roman" w:eastAsia="Times New Roman" w:hAnsi="Times New Roman" w:cs="Times New Roman"/>
          <w:kern w:val="0"/>
          <w14:ligatures w14:val="none"/>
        </w:rPr>
        <w:t xml:space="preserve">he North Carolina Acupuncture Licensing board is authorized, under Section .0500 - Schools and Colleges of Acupuncture 21 NCAC 01.0501 Qualifications for Establishing a School for Acupuncture in North Carolina, to authorize educational institutions to offer schools or colleges of acupuncture. For purposes of this Rule "Acupuncture Program" means training in acupuncture offered by a post-secondary academic institution on a continuing basis. In addition to and for the purposes of meeting the requirements of G.S. 90-454 (3), to be approved as a school or as a program of acupuncture within an institution, the institution must meet certain standards, including but not limited to, achieve candidacy and maintain accreditation as a postgraduate educational program of acupuncture with the National Accreditation Commission for Schools and Colleges of Acupuncture and </w:t>
      </w:r>
      <w:r w:rsidR="00C147B6">
        <w:rPr>
          <w:rFonts w:ascii="Times New Roman" w:eastAsia="Times New Roman" w:hAnsi="Times New Roman" w:cs="Times New Roman"/>
          <w:kern w:val="0"/>
          <w14:ligatures w14:val="none"/>
        </w:rPr>
        <w:t>Oriental (now Herbal)</w:t>
      </w:r>
      <w:r w:rsidRPr="00D32C5B">
        <w:rPr>
          <w:rFonts w:ascii="Times New Roman" w:eastAsia="Times New Roman" w:hAnsi="Times New Roman" w:cs="Times New Roman"/>
          <w:kern w:val="0"/>
          <w14:ligatures w14:val="none"/>
        </w:rPr>
        <w:t xml:space="preserve"> Medicine. For single purpose institutions, </w:t>
      </w:r>
      <w:r w:rsidR="005E3A87">
        <w:rPr>
          <w:rFonts w:ascii="Times New Roman" w:eastAsia="Times New Roman" w:hAnsi="Times New Roman" w:cs="Times New Roman"/>
          <w:kern w:val="0"/>
          <w14:ligatures w14:val="none"/>
        </w:rPr>
        <w:t xml:space="preserve">ACAOM (now named </w:t>
      </w:r>
      <w:r w:rsidRPr="00D32C5B">
        <w:rPr>
          <w:rFonts w:ascii="Times New Roman" w:eastAsia="Times New Roman" w:hAnsi="Times New Roman" w:cs="Times New Roman"/>
          <w:kern w:val="0"/>
          <w14:ligatures w14:val="none"/>
        </w:rPr>
        <w:t>ACA</w:t>
      </w:r>
      <w:r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D32C5B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5E3A87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D32C5B">
        <w:rPr>
          <w:rFonts w:ascii="Times New Roman" w:eastAsia="Times New Roman" w:hAnsi="Times New Roman" w:cs="Times New Roman"/>
          <w:kern w:val="0"/>
          <w14:ligatures w14:val="none"/>
        </w:rPr>
        <w:t xml:space="preserve"> accredits both the acupuncture program a (graduate diploma or </w:t>
      </w:r>
      <w:proofErr w:type="spellStart"/>
      <w:proofErr w:type="gramStart"/>
      <w:r w:rsidRPr="00D32C5B">
        <w:rPr>
          <w:rFonts w:ascii="Times New Roman" w:eastAsia="Times New Roman" w:hAnsi="Times New Roman" w:cs="Times New Roman"/>
          <w:kern w:val="0"/>
          <w14:ligatures w14:val="none"/>
        </w:rPr>
        <w:t>masters</w:t>
      </w:r>
      <w:proofErr w:type="spellEnd"/>
      <w:proofErr w:type="gramEnd"/>
      <w:r w:rsidRPr="00D32C5B">
        <w:rPr>
          <w:rFonts w:ascii="Times New Roman" w:eastAsia="Times New Roman" w:hAnsi="Times New Roman" w:cs="Times New Roman"/>
          <w:kern w:val="0"/>
          <w14:ligatures w14:val="none"/>
        </w:rPr>
        <w:t xml:space="preserve"> degree) and the institution.</w:t>
      </w:r>
    </w:p>
    <w:p w14:paraId="6DBD5DB9" w14:textId="77777777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9E1970" w14:textId="77777777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Any questions regarding this authorization or student concerns or complaints can be forwarded to the administration of The Jung Tao School of Classical Chinese Medicine.</w:t>
      </w:r>
    </w:p>
    <w:p w14:paraId="1C2037E2" w14:textId="77777777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36D0A8" w14:textId="17D08A2C" w:rsidR="00836A0C" w:rsidRP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for Jung Tao School Administration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3FE0F17B" w14:textId="77777777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Phone: (8</w:t>
      </w:r>
      <w:r w:rsidRPr="00836A0C">
        <w:rPr>
          <w:rFonts w:ascii="Times New Roman" w:eastAsia="Times New Roman" w:hAnsi="Times New Roman" w:cs="Times New Roman"/>
          <w:kern w:val="0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Pr="00836A0C">
        <w:rPr>
          <w:rFonts w:ascii="Times New Roman" w:eastAsia="Times New Roman" w:hAnsi="Times New Roman" w:cs="Times New Roman"/>
          <w:kern w:val="0"/>
          <w14:ligatures w14:val="none"/>
        </w:rPr>
        <w:t>297-4181</w:t>
      </w:r>
    </w:p>
    <w:p w14:paraId="78FD4405" w14:textId="77777777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CC41E0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registrar@jungtao.edu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hyperlink r:id="rId7" w:history="1">
        <w:r w:rsidRPr="0037677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president@jungtao.edu</w:t>
        </w:r>
      </w:hyperlink>
    </w:p>
    <w:p w14:paraId="4A05631D" w14:textId="77777777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207 Dale Adams Road</w:t>
      </w:r>
    </w:p>
    <w:p w14:paraId="59F7BE77" w14:textId="26446A5A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Sugar Grove, NC 28679</w:t>
      </w:r>
    </w:p>
    <w:p w14:paraId="7CF4B987" w14:textId="77777777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E5F7F" w14:textId="45BA515F" w:rsidR="00836A0C" w:rsidRDefault="00836A0C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 by contacting staff at the NCALB.</w:t>
      </w:r>
    </w:p>
    <w:p w14:paraId="3675A217" w14:textId="77777777" w:rsidR="00D32C5B" w:rsidRPr="00D32C5B" w:rsidRDefault="00D32C5B" w:rsidP="00D32C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BE88EE" w14:textId="77777777" w:rsidR="007C79D2" w:rsidRDefault="00D32C5B" w:rsidP="00836A0C">
      <w:pPr>
        <w:spacing w:after="0" w:line="240" w:lineRule="auto"/>
        <w:rPr>
          <w:rFonts w:ascii="Times New Roman" w:hAnsi="Times New Roman" w:cs="Times New Roman"/>
        </w:rPr>
      </w:pP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</w:t>
      </w:r>
      <w:r w:rsidR="0083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NCALB</w:t>
      </w: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br/>
        <w:t>PO Box 10686, Raleigh NC 27605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br/>
        <w:t>Phone: 919-821-3008; Fax: 919-400-4273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8" w:tgtFrame="_blank" w:history="1">
        <w:r w:rsidRPr="00943F3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www.ncalb.com</w:t>
        </w:r>
      </w:hyperlink>
    </w:p>
    <w:p w14:paraId="14F2039A" w14:textId="1B59026B" w:rsidR="00836A0C" w:rsidRPr="007C79D2" w:rsidRDefault="00C147B6" w:rsidP="00836A0C">
      <w:pPr>
        <w:spacing w:after="0" w:line="240" w:lineRule="auto"/>
        <w:rPr>
          <w:rFonts w:ascii="Times New Roman" w:hAnsi="Times New Roman" w:cs="Times New Roman"/>
        </w:rPr>
      </w:pPr>
      <w:r w:rsidRPr="00C147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The </w:t>
      </w:r>
      <w:r w:rsidR="00836A0C" w:rsidRPr="0083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Jung Tao School of Classical Chinese Medicine and its following program is accredited by the Accreditation Commission for Acupuncture and Herbal Medicine (ACAHM):</w:t>
      </w:r>
    </w:p>
    <w:p w14:paraId="52F6D036" w14:textId="77777777" w:rsidR="00836A0C" w:rsidRPr="00836A0C" w:rsidRDefault="00836A0C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80E59E" w14:textId="23BE122A" w:rsidR="00836A0C" w:rsidRPr="00C147B6" w:rsidRDefault="00836A0C" w:rsidP="00C147B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47B6">
        <w:rPr>
          <w:rFonts w:ascii="Times New Roman" w:eastAsia="Times New Roman" w:hAnsi="Times New Roman" w:cs="Times New Roman"/>
          <w:kern w:val="0"/>
          <w14:ligatures w14:val="none"/>
        </w:rPr>
        <w:t>Diploma in Acupuncture.</w:t>
      </w:r>
    </w:p>
    <w:p w14:paraId="67E14019" w14:textId="77777777" w:rsidR="00836A0C" w:rsidRDefault="00836A0C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F59A7E" w14:textId="58B73A02" w:rsidR="00836A0C" w:rsidRDefault="00836A0C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A0C">
        <w:rPr>
          <w:rFonts w:ascii="Times New Roman" w:eastAsia="Times New Roman" w:hAnsi="Times New Roman" w:cs="Times New Roman"/>
          <w:kern w:val="0"/>
          <w14:ligatures w14:val="none"/>
        </w:rPr>
        <w:t xml:space="preserve">The program listed above </w:t>
      </w:r>
      <w:r w:rsidR="00C147B6">
        <w:rPr>
          <w:rFonts w:ascii="Times New Roman" w:eastAsia="Times New Roman" w:hAnsi="Times New Roman" w:cs="Times New Roman"/>
          <w:kern w:val="0"/>
          <w14:ligatures w14:val="none"/>
        </w:rPr>
        <w:t xml:space="preserve">is approved by ACAHM to </w:t>
      </w:r>
      <w:r w:rsidRPr="00836A0C">
        <w:rPr>
          <w:rFonts w:ascii="Times New Roman" w:eastAsia="Times New Roman" w:hAnsi="Times New Roman" w:cs="Times New Roman"/>
          <w:kern w:val="0"/>
          <w14:ligatures w14:val="none"/>
        </w:rPr>
        <w:t>offer courses via distance education.</w:t>
      </w:r>
    </w:p>
    <w:p w14:paraId="0594885F" w14:textId="77777777" w:rsidR="00836A0C" w:rsidRPr="00836A0C" w:rsidRDefault="00836A0C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34A12D" w14:textId="77777777" w:rsidR="00836A0C" w:rsidRDefault="00836A0C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6A0C">
        <w:rPr>
          <w:rFonts w:ascii="Times New Roman" w:eastAsia="Times New Roman" w:hAnsi="Times New Roman" w:cs="Times New Roman"/>
          <w:kern w:val="0"/>
          <w14:ligatures w14:val="none"/>
        </w:rPr>
        <w:t xml:space="preserve">ACAHM does not accredit any programs at the undergraduate/bachelor level. Accreditation status and notes may be viewed on the </w:t>
      </w:r>
      <w:hyperlink r:id="rId9" w:history="1">
        <w:r w:rsidRPr="00836A0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ACAHM Directory.</w:t>
        </w:r>
      </w:hyperlink>
    </w:p>
    <w:p w14:paraId="328EECED" w14:textId="77777777" w:rsidR="00734255" w:rsidRDefault="00734255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88C5F3" w14:textId="12539B66" w:rsidR="00734255" w:rsidRDefault="00734255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Any questions regarding the Jung Tao School of Classical Chinese Medicine ACAHM accreditation (program or institution) can be forward to ACAHM staff.</w:t>
      </w:r>
    </w:p>
    <w:p w14:paraId="76AD08DF" w14:textId="77777777" w:rsidR="00836A0C" w:rsidRDefault="00836A0C" w:rsidP="00836A0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D49358" w14:textId="77777777" w:rsidR="00836A0C" w:rsidRPr="00836A0C" w:rsidRDefault="00836A0C" w:rsidP="00836A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6A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for ACAHM:</w:t>
      </w:r>
    </w:p>
    <w:p w14:paraId="5518072D" w14:textId="77777777" w:rsidR="00836A0C" w:rsidRDefault="00836A0C" w:rsidP="00836A0C">
      <w:pPr>
        <w:spacing w:after="0" w:line="240" w:lineRule="auto"/>
      </w:pPr>
      <w:r w:rsidRPr="00836A0C">
        <w:rPr>
          <w:rFonts w:ascii="Times New Roman" w:eastAsia="Times New Roman" w:hAnsi="Times New Roman" w:cs="Times New Roman"/>
          <w:kern w:val="0"/>
          <w14:ligatures w14:val="none"/>
        </w:rPr>
        <w:t xml:space="preserve">ACAHM is recognized by the United States Department of Education as the specialized accreditation agency for institutions/programs preparing acupuncture practitioners. ACAHM is located at 500 Lake Street, Suite 204, Excelsior, Minnesota 55331; phone 952/212-2434; </w:t>
      </w:r>
      <w:hyperlink r:id="rId10" w:history="1">
        <w:r w:rsidRPr="00836A0C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https://acahm.org</w:t>
        </w:r>
      </w:hyperlink>
    </w:p>
    <w:p w14:paraId="6DBAFF15" w14:textId="77777777" w:rsidR="008A5A1D" w:rsidRDefault="008A5A1D" w:rsidP="00836A0C">
      <w:pPr>
        <w:spacing w:after="0" w:line="240" w:lineRule="auto"/>
      </w:pPr>
    </w:p>
    <w:p w14:paraId="47E00DBA" w14:textId="77777777" w:rsidR="007C79D2" w:rsidRDefault="007C79D2" w:rsidP="00836A0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37ABE3" w14:textId="60696F4F" w:rsid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  <w:r w:rsidRPr="008A5A1D">
        <w:rPr>
          <w:rFonts w:ascii="Times New Roman" w:hAnsi="Times New Roman" w:cs="Times New Roman"/>
          <w:b/>
          <w:bCs/>
        </w:rPr>
        <w:t>SARA North Carolina</w:t>
      </w:r>
      <w:r>
        <w:rPr>
          <w:rFonts w:ascii="Times New Roman" w:hAnsi="Times New Roman" w:cs="Times New Roman"/>
        </w:rPr>
        <w:t>:</w:t>
      </w:r>
    </w:p>
    <w:p w14:paraId="062668BC" w14:textId="47E40C09" w:rsid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SARANC is the North Carolina organization that collaborates in a multistate higher education compact on behalf of schools, colleges and universities in North Carolina that offer distance education outside of the state. The </w:t>
      </w:r>
      <w:r w:rsidRPr="008A5A1D">
        <w:rPr>
          <w:rFonts w:ascii="Times New Roman" w:hAnsi="Times New Roman" w:cs="Times New Roman"/>
        </w:rPr>
        <w:t>State Authorization Reciprocity Agreement (SARA) is an agreement among member states, districts and territories that establishes comparable national standards for interstate offering of post</w:t>
      </w:r>
      <w:r>
        <w:rPr>
          <w:rFonts w:ascii="Times New Roman" w:hAnsi="Times New Roman" w:cs="Times New Roman"/>
        </w:rPr>
        <w:t>-</w:t>
      </w:r>
      <w:r w:rsidRPr="008A5A1D">
        <w:rPr>
          <w:rFonts w:ascii="Times New Roman" w:hAnsi="Times New Roman" w:cs="Times New Roman"/>
        </w:rPr>
        <w:t>secondary distance education courses and programs. SARA is overseen by a national council and administered by four regional higher education compacts</w:t>
      </w:r>
      <w:r w:rsidR="00EB0074">
        <w:rPr>
          <w:rFonts w:ascii="Times New Roman" w:hAnsi="Times New Roman" w:cs="Times New Roman"/>
        </w:rPr>
        <w:t>.</w:t>
      </w:r>
      <w:r w:rsidRPr="008A5A1D">
        <w:rPr>
          <w:rFonts w:ascii="Times New Roman" w:hAnsi="Times New Roman" w:cs="Times New Roman"/>
        </w:rPr>
        <w:t xml:space="preserve"> North Carolina has been accepted as a member state of SARA through the Southern Regional Education Board (SREB).</w:t>
      </w:r>
    </w:p>
    <w:p w14:paraId="036837FC" w14:textId="77777777" w:rsid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</w:p>
    <w:p w14:paraId="04CF6A88" w14:textId="3BD7F0FE" w:rsid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Complaints for SARANC can be submitted at this website link:</w:t>
      </w:r>
    </w:p>
    <w:p w14:paraId="24B2A9FF" w14:textId="04D4180E" w:rsidR="008A5A1D" w:rsidRDefault="008A5A1D" w:rsidP="008A5A1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7C77A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https://www2.ncseaa.edu/SARANC/Complaint.aspx</w:t>
        </w:r>
      </w:hyperlink>
    </w:p>
    <w:p w14:paraId="1E16DD66" w14:textId="77777777" w:rsidR="008A5A1D" w:rsidRP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</w:p>
    <w:p w14:paraId="364562E7" w14:textId="01BA56B9" w:rsidR="008A5A1D" w:rsidRPr="008A5A1D" w:rsidRDefault="008A5A1D" w:rsidP="00836A0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A5A1D">
        <w:rPr>
          <w:rFonts w:ascii="Times New Roman" w:hAnsi="Times New Roman" w:cs="Times New Roman"/>
          <w:b/>
          <w:bCs/>
        </w:rPr>
        <w:t>Contact SARANC:</w:t>
      </w:r>
    </w:p>
    <w:p w14:paraId="119A8D10" w14:textId="77777777" w:rsidR="008A5A1D" w:rsidRPr="008A5A1D" w:rsidRDefault="008A5A1D" w:rsidP="008A5A1D">
      <w:pPr>
        <w:spacing w:after="0" w:line="240" w:lineRule="auto"/>
        <w:rPr>
          <w:rFonts w:ascii="Times New Roman" w:hAnsi="Times New Roman" w:cs="Times New Roman"/>
        </w:rPr>
      </w:pPr>
      <w:r w:rsidRPr="008A5A1D">
        <w:rPr>
          <w:rFonts w:ascii="Times New Roman" w:hAnsi="Times New Roman" w:cs="Times New Roman"/>
        </w:rPr>
        <w:t xml:space="preserve">NCSEAA c/o SARA North Carolina P.O. Box 41349 Raleigh, NC 27629 </w:t>
      </w:r>
    </w:p>
    <w:p w14:paraId="2FBF5B74" w14:textId="1284F3C8" w:rsid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Toll free </w:t>
      </w:r>
      <w:r w:rsidRPr="008A5A1D">
        <w:rPr>
          <w:rFonts w:ascii="Times New Roman" w:hAnsi="Times New Roman" w:cs="Times New Roman"/>
        </w:rPr>
        <w:t>(855) 727-2162</w:t>
      </w:r>
      <w:r>
        <w:rPr>
          <w:rFonts w:ascii="Times New Roman" w:hAnsi="Times New Roman" w:cs="Times New Roman"/>
        </w:rPr>
        <w:t xml:space="preserve">; fax </w:t>
      </w:r>
      <w:r w:rsidRPr="008A5A1D">
        <w:rPr>
          <w:rFonts w:ascii="Times New Roman" w:hAnsi="Times New Roman" w:cs="Times New Roman"/>
        </w:rPr>
        <w:t>(919) 248-6667</w:t>
      </w:r>
    </w:p>
    <w:p w14:paraId="675C39D2" w14:textId="6D19C446" w:rsid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  <w:hyperlink r:id="rId12" w:tooltip="Email us for more information." w:history="1">
        <w:r w:rsidRPr="008A5A1D">
          <w:rPr>
            <w:rStyle w:val="Hyperlink"/>
            <w:rFonts w:ascii="Times New Roman" w:hAnsi="Times New Roman" w:cs="Times New Roman"/>
          </w:rPr>
          <w:t>information@saranc.org</w:t>
        </w:r>
      </w:hyperlink>
    </w:p>
    <w:p w14:paraId="219F62ED" w14:textId="77777777" w:rsidR="008A5A1D" w:rsidRDefault="008A5A1D" w:rsidP="008A5A1D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Pr="007C77A5">
          <w:rPr>
            <w:rStyle w:val="Hyperlink"/>
            <w:rFonts w:ascii="Times New Roman" w:hAnsi="Times New Roman" w:cs="Times New Roman"/>
          </w:rPr>
          <w:t>https://www2.ncseaa.edu/SARANC/index.html</w:t>
        </w:r>
      </w:hyperlink>
    </w:p>
    <w:p w14:paraId="627FE3FE" w14:textId="77777777" w:rsidR="008A5A1D" w:rsidRPr="008A5A1D" w:rsidRDefault="008A5A1D" w:rsidP="00836A0C">
      <w:pPr>
        <w:spacing w:after="0" w:line="240" w:lineRule="auto"/>
        <w:rPr>
          <w:rFonts w:ascii="Times New Roman" w:hAnsi="Times New Roman" w:cs="Times New Roman"/>
        </w:rPr>
      </w:pPr>
    </w:p>
    <w:p w14:paraId="75EB56AF" w14:textId="77777777" w:rsidR="007C79D2" w:rsidRDefault="007C79D2" w:rsidP="00D32C5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6332BFA" w14:textId="7C4A7BF0" w:rsidR="00D32C5B" w:rsidRPr="00943F35" w:rsidRDefault="00D32C5B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National Certification 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</w:t>
      </w: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Acupuncture and 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Herbal</w:t>
      </w: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Medicine (NC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</w:t>
      </w:r>
      <w:r w:rsidRPr="00943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M)</w:t>
      </w:r>
    </w:p>
    <w:p w14:paraId="342AE53F" w14:textId="4FD6482A" w:rsidR="00D32C5B" w:rsidRDefault="00D32C5B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Graduates of Jung Tao School are eligible to take the examinations offered by the National Certification </w:t>
      </w:r>
      <w:r w:rsidR="00773168">
        <w:rPr>
          <w:rFonts w:ascii="Times New Roman" w:eastAsia="Times New Roman" w:hAnsi="Times New Roman" w:cs="Times New Roman"/>
          <w:kern w:val="0"/>
          <w14:ligatures w14:val="none"/>
        </w:rPr>
        <w:t>Board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for Acupuncture and </w:t>
      </w:r>
      <w:r w:rsidR="00773168">
        <w:rPr>
          <w:rFonts w:ascii="Times New Roman" w:eastAsia="Times New Roman" w:hAnsi="Times New Roman" w:cs="Times New Roman"/>
          <w:kern w:val="0"/>
          <w14:ligatures w14:val="none"/>
        </w:rPr>
        <w:t>Herbal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Medicine</w:t>
      </w:r>
      <w:r w:rsidR="0077316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>The NC</w:t>
      </w:r>
      <w:r w:rsidR="00773168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773168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>M exam is utilized by most states and is required by many for licensure. At this time, there is no national standard for acupuncture licens</w:t>
      </w:r>
      <w:r w:rsidR="00C147B6">
        <w:rPr>
          <w:rFonts w:ascii="Times New Roman" w:eastAsia="Times New Roman" w:hAnsi="Times New Roman" w:cs="Times New Roman"/>
          <w:kern w:val="0"/>
          <w14:ligatures w14:val="none"/>
        </w:rPr>
        <w:t>ure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and prospective students should be knowledgeable about the state where they plan to practice and its licensing requirements. In </w:t>
      </w:r>
      <w:r w:rsidR="00C147B6" w:rsidRPr="00943F35">
        <w:rPr>
          <w:rFonts w:ascii="Times New Roman" w:eastAsia="Times New Roman" w:hAnsi="Times New Roman" w:cs="Times New Roman"/>
          <w:kern w:val="0"/>
          <w14:ligatures w14:val="none"/>
        </w:rPr>
        <w:t>case</w:t>
      </w:r>
      <w:r w:rsidR="00587DA6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where state licensure requires 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clinical hours </w:t>
      </w:r>
      <w:proofErr w:type="gramStart"/>
      <w:r w:rsidRPr="00943F35">
        <w:rPr>
          <w:rFonts w:ascii="Times New Roman" w:eastAsia="Times New Roman" w:hAnsi="Times New Roman" w:cs="Times New Roman"/>
          <w:kern w:val="0"/>
          <w14:ligatures w14:val="none"/>
        </w:rPr>
        <w:t>in excess of</w:t>
      </w:r>
      <w:proofErr w:type="gramEnd"/>
      <w:r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47B6">
        <w:rPr>
          <w:rFonts w:ascii="Times New Roman" w:eastAsia="Times New Roman" w:hAnsi="Times New Roman" w:cs="Times New Roman"/>
          <w:kern w:val="0"/>
          <w14:ligatures w14:val="none"/>
        </w:rPr>
        <w:t xml:space="preserve">ACAHM or 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JTS graduation requirements, students may take additional internship rotations to meet those requirements. </w:t>
      </w:r>
      <w:r w:rsidR="00C147B6">
        <w:rPr>
          <w:rFonts w:ascii="Times New Roman" w:eastAsia="Times New Roman" w:hAnsi="Times New Roman" w:cs="Times New Roman"/>
          <w:kern w:val="0"/>
          <w14:ligatures w14:val="none"/>
        </w:rPr>
        <w:t xml:space="preserve">At this time, The Jung Tao School of Classical Chinese Medicine acupuncture program is not California Acupuncture Board </w:t>
      </w:r>
      <w:r w:rsidR="00587DA6">
        <w:rPr>
          <w:rFonts w:ascii="Times New Roman" w:eastAsia="Times New Roman" w:hAnsi="Times New Roman" w:cs="Times New Roman"/>
          <w:kern w:val="0"/>
          <w14:ligatures w14:val="none"/>
        </w:rPr>
        <w:t>approved,</w:t>
      </w:r>
      <w:r w:rsidR="00C147B6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t>graduates are not eligible to sit for the California Acupuncture Licensing Exam.</w:t>
      </w:r>
    </w:p>
    <w:p w14:paraId="23141CAB" w14:textId="77777777" w:rsidR="00C147B6" w:rsidRPr="00943F35" w:rsidRDefault="00C147B6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A96A0A" w14:textId="6298A2D6" w:rsidR="00734255" w:rsidRDefault="00C147B6" w:rsidP="00D32C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D32C5B"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Jung Tao School works with its students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support</w:t>
      </w:r>
      <w:r w:rsidR="00D32C5B"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all students</w:t>
      </w:r>
      <w:r w:rsidR="00587DA6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 w:rsidR="00D32C5B"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meet licensure requirements in their state of residence</w:t>
      </w:r>
      <w:r w:rsidR="00587DA6">
        <w:rPr>
          <w:rFonts w:ascii="Times New Roman" w:eastAsia="Times New Roman" w:hAnsi="Times New Roman" w:cs="Times New Roman"/>
          <w:kern w:val="0"/>
          <w14:ligatures w14:val="none"/>
        </w:rPr>
        <w:t>;</w:t>
      </w:r>
      <w:r w:rsidR="00D32C5B"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however, program completion does not necessarily guarantee licensure in all states. Prospective students should always </w:t>
      </w:r>
      <w:hyperlink r:id="rId14" w:history="1">
        <w:r w:rsidR="00D32C5B" w:rsidRPr="00943F35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check with their state medical board</w:t>
        </w:r>
      </w:hyperlink>
      <w:r w:rsidR="00D32C5B" w:rsidRPr="00943F35">
        <w:rPr>
          <w:rFonts w:ascii="Times New Roman" w:eastAsia="Times New Roman" w:hAnsi="Times New Roman" w:cs="Times New Roman"/>
          <w:kern w:val="0"/>
          <w14:ligatures w14:val="none"/>
        </w:rPr>
        <w:t xml:space="preserve"> to determine the most up to date eligibility requirements for licensure in acupuncture.</w:t>
      </w:r>
      <w:r w:rsidR="00734255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26779B8A" w14:textId="77777777" w:rsidR="005A0BC1" w:rsidRDefault="005A0BC1" w:rsidP="005A0BC1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844BB0" w14:textId="4E07E6C9" w:rsidR="005A0BC1" w:rsidRPr="005A0BC1" w:rsidRDefault="00176A75" w:rsidP="005A0BC1">
      <w:pPr>
        <w:spacing w:after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The </w:t>
      </w:r>
      <w:r w:rsidR="005A0BC1" w:rsidRPr="005A0B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Jung Tao School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Acupuncture Program</w:t>
      </w:r>
      <w:r w:rsidR="005A0BC1" w:rsidRPr="005A0B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State</w:t>
      </w:r>
      <w:r w:rsidR="005A0BC1" w:rsidRPr="005A0B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License Requirements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987"/>
        <w:gridCol w:w="1839"/>
        <w:gridCol w:w="1911"/>
        <w:gridCol w:w="1620"/>
      </w:tblGrid>
      <w:tr w:rsidR="00176A75" w:rsidRPr="00EB0074" w14:paraId="12A9C7B3" w14:textId="77777777" w:rsidTr="00A347C7">
        <w:trPr>
          <w:trHeight w:val="1785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5FEC4" w14:textId="7ACD9488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rogram meets licensure requirements in the following States and does not require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exams or certification 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B65DF" w14:textId="39FCD022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rogram meets licensure requirements in the following States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students must pass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foundations, acupuncture and biomedicine exams* but does not require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certification 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FC620" w14:textId="224B0905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rogram meets licensure requirements in the following States and students must pass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foundations, acupuncture and biomedicine exams and requires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certification 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07040" w14:textId="5E7CDF4B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rogram </w:t>
            </w:r>
            <w:r w:rsidR="00D32C5B" w:rsidRPr="00EB0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not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meet licensure requirements in the following States without addition of herbal program and passing NC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 herbal exam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F0AB0" w14:textId="413383E5" w:rsidR="00D32C5B" w:rsidRPr="00EB0074" w:rsidRDefault="00176A75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Acupuncture p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rogram </w:t>
            </w:r>
            <w:r w:rsidR="00D32C5B" w:rsidRPr="00EB00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not</w:t>
            </w:r>
            <w:r w:rsidR="00D32C5B"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meet licensure requirements in the following States</w:t>
            </w:r>
          </w:p>
        </w:tc>
      </w:tr>
      <w:tr w:rsidR="00176A75" w:rsidRPr="00EB0074" w14:paraId="69A7E527" w14:textId="77777777" w:rsidTr="00A347C7">
        <w:trPr>
          <w:trHeight w:val="1515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ED5A1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_Hlk192155545"/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Maryland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62C6C" w14:textId="3963854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North Carolina, Washington, Montana, Wyoming, Wisconsin, Kentucky, West Virginia, New York, Rhode Island, Hawaii</w:t>
            </w:r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Nebraska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30825" w14:textId="2E5C2031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192155699"/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Connecticut, Washington DC, South Carolina, Georgia, Virginia, Tennessee, Mississippi, Louisiana, Missouri, Iowa, Minnesota, Indiana, Ohio, Michigan</w:t>
            </w:r>
            <w:bookmarkEnd w:id="1"/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="00773168" w:rsidRP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Maine, North Dakota, New Hampshire, Utah, Alaska, Arizona, Idaho, Colorado, Oregon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C5646" w14:textId="0CD4DB71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2" w:name="_Hlk192155718"/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 Mexico, Texas, Kansas, Florida, Pennsylvania, New Jersey, Delaware, Massachusetts, Arkansas, Illinois</w:t>
            </w:r>
            <w:bookmarkEnd w:id="2"/>
            <w:r w:rsidR="00773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Vermont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68561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California</w:t>
            </w:r>
          </w:p>
        </w:tc>
      </w:tr>
      <w:tr w:rsidR="00176A75" w:rsidRPr="00EB0074" w14:paraId="4A5212CE" w14:textId="77777777" w:rsidTr="00A347C7">
        <w:trPr>
          <w:trHeight w:val="345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56032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80BCB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B007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*Nebraska, Montana, Wisconsin, West Virginia, New York do not require biomedicine exam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95C56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8372B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943FD" w14:textId="77777777" w:rsidR="00D32C5B" w:rsidRPr="00EB0074" w:rsidRDefault="00D32C5B" w:rsidP="00D32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40E9DAF4" w14:textId="77777777" w:rsidR="00587DA6" w:rsidRDefault="00587D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1F68A0" w14:textId="530FE5AF" w:rsidR="00587DA6" w:rsidRDefault="00587DA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*</w:t>
      </w:r>
      <w:r w:rsidR="00A347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his table </w:t>
      </w:r>
      <w:r w:rsidR="00A347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based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on current information posted by the NC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M.</w:t>
      </w:r>
    </w:p>
    <w:p w14:paraId="2C0244C9" w14:textId="77777777" w:rsidR="00773168" w:rsidRPr="00773168" w:rsidRDefault="00D32C5B" w:rsidP="00773168">
      <w:pPr>
        <w:spacing w:after="0" w:line="240" w:lineRule="auto"/>
        <w:rPr>
          <w:rFonts w:eastAsia="Times New Roman"/>
          <w:kern w:val="0"/>
          <w14:ligatures w14:val="none"/>
        </w:rPr>
      </w:pPr>
      <w:r w:rsidRPr="00D32C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updated information Contact</w:t>
      </w:r>
      <w:r w:rsidR="00587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NC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="00587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7731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</w:t>
      </w:r>
      <w:r w:rsidR="00587D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 at</w:t>
      </w:r>
      <w:r w:rsidRPr="00D32C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943F3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773168" w:rsidRPr="00773168">
        <w:rPr>
          <w:rFonts w:eastAsia="Times New Roman"/>
          <w:kern w:val="0"/>
          <w14:ligatures w14:val="none"/>
        </w:rPr>
        <w:t>1199 N. Fairfax St., Suite 220 | Alexandria, VA 22314</w:t>
      </w:r>
    </w:p>
    <w:p w14:paraId="32207AFB" w14:textId="6C6AEC7C" w:rsidR="00C147B6" w:rsidRDefault="007731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3168">
        <w:rPr>
          <w:rFonts w:ascii="Times New Roman" w:eastAsia="Times New Roman" w:hAnsi="Times New Roman" w:cs="Times New Roman"/>
          <w:kern w:val="0"/>
          <w14:ligatures w14:val="none"/>
        </w:rPr>
        <w:t>Phone: 888.381.1140 | </w:t>
      </w:r>
      <w:hyperlink r:id="rId15" w:history="1">
        <w:r w:rsidRPr="0077316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info@ncbahm.org</w:t>
        </w:r>
      </w:hyperlink>
    </w:p>
    <w:sectPr w:rsidR="00C1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B18E3"/>
    <w:multiLevelType w:val="hybridMultilevel"/>
    <w:tmpl w:val="EBA473BC"/>
    <w:lvl w:ilvl="0" w:tplc="F27E8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6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5B"/>
    <w:rsid w:val="00176A75"/>
    <w:rsid w:val="002539BF"/>
    <w:rsid w:val="003748A3"/>
    <w:rsid w:val="004F0E0B"/>
    <w:rsid w:val="00587DA6"/>
    <w:rsid w:val="005A0BC1"/>
    <w:rsid w:val="005E3A87"/>
    <w:rsid w:val="00657985"/>
    <w:rsid w:val="00734255"/>
    <w:rsid w:val="00773168"/>
    <w:rsid w:val="007C79D2"/>
    <w:rsid w:val="007D249F"/>
    <w:rsid w:val="00836A0C"/>
    <w:rsid w:val="008938F3"/>
    <w:rsid w:val="008A5A1D"/>
    <w:rsid w:val="00A347C7"/>
    <w:rsid w:val="00BB61CA"/>
    <w:rsid w:val="00C147B6"/>
    <w:rsid w:val="00C45F9D"/>
    <w:rsid w:val="00CF3A6C"/>
    <w:rsid w:val="00D32C5B"/>
    <w:rsid w:val="00D60C13"/>
    <w:rsid w:val="00D91598"/>
    <w:rsid w:val="00DE4E25"/>
    <w:rsid w:val="00EA6645"/>
    <w:rsid w:val="00EB0074"/>
    <w:rsid w:val="00FA1269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AE8E"/>
  <w15:chartTrackingRefBased/>
  <w15:docId w15:val="{D43692D2-296E-4EC6-8846-2FBE9A1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5B"/>
  </w:style>
  <w:style w:type="paragraph" w:styleId="Heading1">
    <w:name w:val="heading 1"/>
    <w:basedOn w:val="Normal"/>
    <w:next w:val="Normal"/>
    <w:link w:val="Heading1Char"/>
    <w:uiPriority w:val="9"/>
    <w:qFormat/>
    <w:rsid w:val="00D32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2C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A0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7D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7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A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31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alb.com/" TargetMode="External"/><Relationship Id="rId13" Type="http://schemas.openxmlformats.org/officeDocument/2006/relationships/hyperlink" Target="https://www2.ncseaa.edu/SARANC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ident@jungtao.edu" TargetMode="External"/><Relationship Id="rId12" Type="http://schemas.openxmlformats.org/officeDocument/2006/relationships/hyperlink" Target="mailto:information@saranc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egistrar@jungtao.edu" TargetMode="External"/><Relationship Id="rId11" Type="http://schemas.openxmlformats.org/officeDocument/2006/relationships/hyperlink" Target="https://www2.ncseaa.edu/SARANC/Complaint.aspx" TargetMode="External"/><Relationship Id="rId5" Type="http://schemas.openxmlformats.org/officeDocument/2006/relationships/hyperlink" Target="https://www.sosnc.gov/divisions/charities" TargetMode="External"/><Relationship Id="rId15" Type="http://schemas.openxmlformats.org/officeDocument/2006/relationships/hyperlink" Target="mailto:info@ncbahm.org" TargetMode="External"/><Relationship Id="rId10" Type="http://schemas.openxmlformats.org/officeDocument/2006/relationships/hyperlink" Target="https://acah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hm.org/directory-menu/directory/" TargetMode="External"/><Relationship Id="rId14" Type="http://schemas.openxmlformats.org/officeDocument/2006/relationships/hyperlink" Target="https://www.nccaom.org/state-licens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Green</dc:creator>
  <cp:keywords/>
  <dc:description/>
  <cp:lastModifiedBy>Jen Resnick</cp:lastModifiedBy>
  <cp:revision>3</cp:revision>
  <dcterms:created xsi:type="dcterms:W3CDTF">2026-04-28T15:23:00Z</dcterms:created>
  <dcterms:modified xsi:type="dcterms:W3CDTF">2026-04-28T15:32:00Z</dcterms:modified>
</cp:coreProperties>
</file>